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000"/>
      </w:pPr>
    </w:p>
    <w:p>
      <w:pPr>
        <w:spacing w:after="0" w:before="800"/>
        <w:jc w:val="center"/>
        <w:rPr>
          <w:rFonts w:ascii="Lato" w:cs="Lato" w:eastAsia="Lato" w:hAnsi="Lato"/>
          <w:b/>
          <w:bCs/>
          <w:color w:val="DBE94D"/>
          <w:sz w:val="72"/>
          <w:szCs w:val="72"/>
        </w:rPr>
      </w:pPr>
      <w:r>
        <w:t xml:space="preserve">FLOW COLLECTIVE</w:t>
      </w:r>
    </w:p>
    <w:p>
      <w:pPr>
        <w:spacing w:after="400" w:before="0"/>
        <w:jc w:val="center"/>
        <w:rPr>
          <w:rFonts w:ascii="Lato" w:cs="Lato" w:eastAsia="Lato" w:hAnsi="Lato"/>
          <w:b/>
          <w:bCs/>
          <w:color w:val="DBE94D"/>
          <w:sz w:val="72"/>
          <w:szCs w:val="72"/>
        </w:rPr>
      </w:pPr>
      <w:r>
        <w:t xml:space="preserve">STUDIO</w:t>
      </w:r>
    </w:p>
    <w:p>
      <w:pPr>
        <w:spacing w:after="600" w:before="200"/>
        <w:jc w:val="center"/>
        <w:rPr>
          <w:rFonts w:ascii="Lato" w:cs="Lato" w:eastAsia="Lato" w:hAnsi="Lato"/>
          <w:b/>
          <w:bCs/>
          <w:color w:val="DBE94D"/>
          <w:sz w:val="24"/>
          <w:szCs w:val="24"/>
        </w:rPr>
      </w:pPr>
      <w:r>
        <w:t xml:space="preserve">____________________________________________________________</w:t>
      </w:r>
    </w:p>
    <w:p>
      <w:pPr>
        <w:spacing w:after="1200" w:before="600"/>
        <w:jc w:val="center"/>
        <w:rPr>
          <w:rFonts w:ascii="Lato" w:cs="Lato" w:eastAsia="Lato" w:hAnsi="Lato"/>
          <w:b w:val="false"/>
          <w:bCs w:val="false"/>
          <w:color w:val="0F2C24"/>
          <w:sz w:val="36"/>
          <w:szCs w:val="36"/>
        </w:rPr>
      </w:pPr>
      <w:r>
        <w:t xml:space="preserve">Design System v1.0</w:t>
      </w:r>
    </w:p>
    <w:p>
      <w:pPr>
        <w:spacing w:after="0" w:before="1500"/>
      </w:pPr>
    </w:p>
    <w:p>
      <w:pPr>
        <w:spacing w:after="200" w:before="2000"/>
        <w:jc w:val="center"/>
        <w:rPr>
          <w:rFonts w:ascii="Lato" w:cs="Lato" w:eastAsia="Lato" w:hAnsi="Lato"/>
          <w:color w:val="768782"/>
          <w:sz w:val="22"/>
          <w:szCs w:val="22"/>
        </w:rPr>
      </w:pPr>
      <w:r>
        <w:t xml:space="preserve">Marzo 2026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Tabla de Contenidos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1. Introducción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2. Fundaciones — Color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3. Fundaciones — Tipografía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4. Fundaciones — Espaciado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5. Fundaciones — Bordes, Radio y Elevación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6. Componentes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7. Fotografía e Iconografía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8. Traducción Cross-Medium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9. Gobernanza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Introducción</w:t>
      </w:r>
    </w:p>
    <w:p>
      <w:pPr>
        <w:spacing w:after="120" w:before="240"/>
        <w:rPr>
          <w:rFonts w:ascii="Lato" w:cs="Lato" w:eastAsia="Lato" w:hAnsi="Lato"/>
          <w:b/>
          <w:bCs/>
          <w:color w:val="0F2C24"/>
          <w:sz w:val="28"/>
          <w:szCs w:val="28"/>
        </w:rPr>
      </w:pPr>
      <w:r>
        <w:t xml:space="preserve">¿Qué es este documento?</w:t>
      </w:r>
    </w:p>
    <w:p>
      <w:pPr>
        <w:spacing w:after="24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El Sistema de Diseño de Flow Collective Studio es un conjunto integral de normas, componentes y directrices que garantiza la consistencia visual y funcional en todos nuestros productos y medios. Este documento sirve como referencia única para diseñadores, desarrolladores y especialistas en contenido.</w:t>
      </w:r>
    </w:p>
    <w:p>
      <w:pPr>
        <w:spacing w:after="120" w:before="240"/>
        <w:rPr>
          <w:rFonts w:ascii="Lato" w:cs="Lato" w:eastAsia="Lato" w:hAnsi="Lato"/>
          <w:b/>
          <w:bCs/>
          <w:color w:val="0F2C24"/>
          <w:sz w:val="28"/>
          <w:szCs w:val="28"/>
        </w:rPr>
      </w:pPr>
      <w:r>
        <w:t xml:space="preserve">Audiencia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Este sistema fue diseñado para: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Diseñadores de interfaz y experiencia de usuario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Desarrolladores frontend y full-stack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Especialistas en contenido y redacción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Directores de marca y comunicación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Gestores de proyectos y stakeholders</w:t>
      </w:r>
    </w:p>
    <w:p>
      <w:pPr>
        <w:spacing w:after="120" w:before="360"/>
        <w:rPr>
          <w:rFonts w:ascii="Lato" w:cs="Lato" w:eastAsia="Lato" w:hAnsi="Lato"/>
          <w:b/>
          <w:bCs/>
          <w:color w:val="0F2C24"/>
          <w:sz w:val="28"/>
          <w:szCs w:val="28"/>
        </w:rPr>
      </w:pPr>
      <w:r>
        <w:t xml:space="preserve">Cómo usar este documento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Lea la sección de Fundaciones primero para entender la base conceptual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Consulte los Tokens Semánticos antes de aplicar colores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Cada componente incluye notas cross-medium para adaptación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Use la tabla de Traducción para convertir valores entre plataformas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Siempre respete la Regla 70/20/10 para equilibrio visual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Fundaciones — Color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El color es la expresión más visible de la marca Flow Collective. Nuestro sistema cromático está basado en la naturaleza verde, transmitiendo crecimiento, confianza y innovación.</w:t>
      </w:r>
    </w:p>
    <w:p>
      <w:pPr>
        <w:pStyle w:val="Heading2"/>
        <w:spacing w:after="180" w:before="360" w:line="240"/>
      </w:pPr>
      <w:r>
        <w:t xml:space="preserve">Paleta de Referencia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Colores base utilizados en todo el sistema: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Color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Hex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RGB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Descripción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Primario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59, 235, 100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Color identitario principal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Charcoal Oscuro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15, 44, 36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y títulos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Crema Fondo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247, 245, 243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 neutro cálido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Off-White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240, 238, 233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Superficies secundarias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 Sutil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207, 213, 211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Líneas y divisores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Secundario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#768782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118, 135, 130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Subtítulos y labels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Tokens Semánticos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Los tokens semánticos asignan colores a propósitos específicos en el diseño. Estos abstrae la paleta cruda en un lenguaje funcional: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Categoría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Color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Superficies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surface-primary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Fondos principales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Superficies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surface-secondary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Fondos alternativos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Superficies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surface-tertiary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Elementos elevados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text-primary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Cuerpo y títulos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text-secondary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#768782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Labels y hints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interactive-primary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CTAs y acciones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interactive-hover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#2FD954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Estado hover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border-primary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Divisores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Feedback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feedback-success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#2FD954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Mensajes positivos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Feedback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feedback-error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#E84545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Mensajes de error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Tokens por Componente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Asignación de colores por componente específico: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Componente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Texto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Hover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Botón CTA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#2FD954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#2FD954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Tarjeta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#E0E6E4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Campo Entrada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#B0C0BC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Tabla Header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Divisor Sección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Cita Destacada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Dato Impacto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Regla 70/20/10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mantener equilibrio visual y prevenir saturación cromática: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70% Colores neutrales (white, cream, off-white)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20% Charcoal para tipografía y énfasis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10% Verde primario para CTAs e interacción</w:t>
      </w:r>
    </w:p>
    <w:p>
      <w:pPr>
        <w:spacing w:after="360" w:before="200"/>
        <w:jc w:val="both"/>
        <w:rPr>
          <w:rFonts w:ascii="Lato" w:cs="Lato" w:eastAsia="Lato" w:hAnsi="Lato"/>
          <w:color w:val="768782"/>
          <w:sz w:val="22"/>
          <w:szCs w:val="22"/>
        </w:rPr>
      </w:pPr>
      <w:r>
        <w:t xml:space="preserve">Esta distribución asegura que el verde primario resalte y no abrume, manteniendo un diseño limpio y profesional.</w:t>
      </w:r>
    </w:p>
    <w:p>
      <w:pPr>
        <w:pStyle w:val="Heading2"/>
        <w:spacing w:after="180" w:before="360" w:line="240"/>
      </w:pPr>
      <w:r>
        <w:t xml:space="preserve">Accesibilidad y Contraste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Todos los pares de color deben cumplir con WCAG AA (relación de contraste mínimo 4.5:1 para texto):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Combinación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Contraste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WCAG AA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 sobre 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9.2:1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Cumple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principal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#768782 sobre 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4.8:1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Cumple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secundario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 sobre #0F2C24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3.2:1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 Cumple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 usar para texto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 sobre 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8.1:1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Cumple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Fondos alternativos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#FFFFFF sobre #3BEB64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5.3:1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Cumple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Botones CTA</w:t>
            </w:r>
          </w:p>
        </w:tc>
      </w:tr>
    </w:tbl>
    <w:p>
      <w:pPr>
        <w:spacing w:after="0" w:before="200"/>
      </w:pP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El verde primario nunca debe usarse como fondo de texto pequeño. Utilícelo exclusivamente para fondos de botones CTA o elementos de énfasis con texto blanco o charcoal oscuro.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Fundaciones — Tipografía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Lato es nuestra familia tipográfica única en todo el sistema. Seleccionamos esta familia por su claridad, versatilidad y excelente legibilidad en múltiples tamaños y medios.</w:t>
      </w:r>
    </w:p>
    <w:p>
      <w:pPr>
        <w:pStyle w:val="Heading2"/>
        <w:spacing w:after="180" w:before="360" w:line="240"/>
      </w:pPr>
      <w:r>
        <w:t xml:space="preserve">Familia: Lato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Características principales: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Diseñada para pantalla y impresión con igual calidad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Excelente legibilidad a tamaños pequeños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Múltiples pesos (Light 300 a Black 900)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Proporciones humanistas y cálidas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Compatible universalmente en navegadores y aplicaciones</w:t>
      </w:r>
    </w:p>
    <w:p>
      <w:pPr>
        <w:spacing w:after="0" w:before="240"/>
      </w:pPr>
    </w:p>
    <w:p>
      <w:pPr>
        <w:pStyle w:val="Heading2"/>
        <w:spacing w:after="180" w:before="360" w:line="240"/>
      </w:pPr>
      <w:r>
        <w:t xml:space="preserve">Escala de Pesos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Peso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Nombre Técnico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Código CSS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Usos Típicos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Light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300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Captions, hints, metadata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Regular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400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Cuerpo de texto principal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Medium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500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Etiquetas, énfasis moderado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SemiBold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600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Subtítulos, encabezados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Bold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700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700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Encabezados principales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Black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900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font-weight: 900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Títulos de portada, énfasis máximo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Escala Tipográfica — Presentación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diapositivas PowerPoint y presentaciones: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Rol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Peso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Tamaño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Line Height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Casos de Uso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Título Portada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Black 900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66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Portadas y títulos principales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Título Slide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Bold 700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54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Encabezados de diapositivas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Subtítulo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SemiBold 600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28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Subtítulos en slides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Cuerpo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Regular 400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18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Contenido principal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Nota Pie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Light 300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Referencias y fuentes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Escala Tipográfica — Documento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documentos Word, PDF y textos impresos: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Rol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Peso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Tamaño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Line Height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Casos de Uso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Encabezado 1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Bold 700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28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Títulos principales de secciones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Encabezado 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SemiBold 600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Subtítulos de subsecciones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Encabezado 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Medium 500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14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Subencabezados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Cuerpo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Regular 400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11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Párrafos principales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Énfasis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Bold 700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11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Énfasis en cuerpo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Caption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Light 300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9 pt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Notas al pie y captions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Escala Tipográfica — Web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interfaces web y aplicaciones: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Rol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Peso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Tamaño (px)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Line Height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Letter Spacing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H1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Bold 700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-0.5px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SemiBold 600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-0.25px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Medium 500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18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Body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Regular 400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1.6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Small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Regular 400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0.2px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Caption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Light 300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11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0.3px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Reglas Tipográficas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Line Height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El espaciado vertical entre líneas es crítico para legibilidad: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Cuerpo de texto: 1.5 líneas (mínimo)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Títulos: 1.2 líneas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Captions: 1.4 líneas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Letter Spacing (Tracking)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títulos grandes en presentación: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Títulos 54pt+: -0.5 a -1px tracking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Subtítulos: -0.25px tracking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Cuerpo: sin tracking adicional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Jerarquía de Tamaños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Cada nivel de encabezado debe ser perceptiblemente más grande que el anterior: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H1 a H2: mínimo 20% más grande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H2 a H3: mínimo 15% más grande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H3 a Cuerpo: mantener clara distinción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Límites de Palabras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presentaciones: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Título slide: máximo 8 palabras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Viñeta: máximo 6 palabras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Párrafo: máximo 2-3 oraciones por punto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Fundaciones — Espaciado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El espaciado es la columna vertebral de un diseño coherente. Nuestro sistema utiliza una unidad base de 8px que escala proporcionalmente en todas las medidas.</w:t>
      </w:r>
    </w:p>
    <w:p>
      <w:pPr>
        <w:pStyle w:val="Heading2"/>
        <w:spacing w:after="180" w:before="360" w:line="240"/>
      </w:pPr>
      <w:r>
        <w:t xml:space="preserve">Escala de Espaciado</w:t>
      </w:r>
    </w:p>
    <w:p>
      <w:pPr>
        <w:spacing w:after="200" w:before="0"/>
        <w:rPr>
          <w:rFonts w:ascii="Lato" w:cs="Lato" w:eastAsia="Lato" w:hAnsi="Lato"/>
          <w:b/>
          <w:bCs/>
          <w:color w:val="0F2C24"/>
          <w:sz w:val="22"/>
          <w:szCs w:val="22"/>
        </w:rPr>
      </w:pPr>
      <w:r>
        <w:t xml:space="preserve">Unidad base: 8px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464"/>
        <w:gridCol w:w="1464"/>
        <w:gridCol w:w="1464"/>
        <w:gridCol w:w="1464"/>
        <w:gridCol w:w="1464"/>
        <w:gridCol w:w="1464"/>
      </w:tblGrid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Multiplicador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Píxeles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Puntos (pt)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EMU (DOCX)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Descripción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scale-0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0.25x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38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Micro espacios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scale-1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0.5x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76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Muy compacto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scale-2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152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Base unit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scale-3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9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228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Compacto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scale-4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16px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304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Estándar pequeño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scale-5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2.5x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15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380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Estándar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scale-6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18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456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Amplio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scale-7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32px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608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Muy amplio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scale-8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40px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760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Espaciado máximo</w:t>
            </w:r>
          </w:p>
        </w:tc>
      </w:tr>
      <w:tr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scale-9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48px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36 pt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912</w:t>
            </w:r>
          </w:p>
        </w:tc>
        <w:tc>
          <w:tcPr>
            <w:tcW w:type="dxa" w:w="146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Separación de secciones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Márgenes por Medio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Presentación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Márgenes para diapositivas PowerPoint: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Lado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Distancia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Función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Superior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0.75 in (19mm)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Títulos y encabezados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Inferior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0.75 in (19mm)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Pie de página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Izquierdo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0.75 in (19mm)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 seguro de texto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Derecho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0.75 in (19mm)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 seguro de texto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Documento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Márgenes para documentos Word y PDF: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Lado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Distancia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Función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Superior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25mm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Espacio para encabezados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Inferior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20mm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Espacio para pies de página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Izquierdo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30mm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Encuadernación + márgen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Derecho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25mm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Margen de seguridad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Regla del 40% de Espacio Vacío</w:t>
      </w:r>
    </w:p>
    <w:p>
      <w:pPr>
        <w:spacing w:after="20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El espacio en blanco (vacío) no es desperdicio—es una herramienta de diseño activa. En todos los medios, mantén que al menos el 40% de tu espacio sea vacío (sin contenido, imágenes o elementos):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Alrededor de títulos principales: mínimo scale-6 (24px)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Entre párrafos: mínimo scale-5 (20px)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Dentro de componentes: mínimo scale-3 (12px)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Entre secciones: mínimo scale-9 (48px)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Esto reduce la saturación visual y mejora la legibilidad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Fundaciones — Bordes, Radio y Elevación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Estos elementos definen la estructura visual y la jerarquía de profundidad en nuestro sistema de diseño.</w:t>
      </w:r>
    </w:p>
    <w:p>
      <w:pPr>
        <w:pStyle w:val="Heading2"/>
        <w:spacing w:after="180" w:before="360" w:line="240"/>
      </w:pPr>
      <w:r>
        <w:t xml:space="preserve">Bordes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Grosor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Estilo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Color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border-1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1px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Solid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Líneas sutiles entre elementos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border-2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2px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Solid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Bordes estándar de componentes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3px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Solid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Énfasis en elementos destacados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border-divider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1px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Solid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Divisores de sección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border-accent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4px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Solid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Acentos visuales (left-border)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Radio de Esquinas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Pixels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square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Sin redondeo, esquinas afiladas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small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Buttons pequeños, inputs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radius-2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base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Botones estándar, tarjetas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medium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Componentes grandes, cajas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large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16px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Elementos destacados, panels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radius-full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circle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50%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Avatares, badges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Sombras y Elevación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Las sombras crean profundidad visual sin cambiar el tamaño o los colores. Usamos una escala de 4 niveles de elevación: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Descripción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Shadow CSS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elevation-none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Sin sombra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none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Elementos en superficie base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Elevación leve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2px 4px rgba(0,0,0,0.08)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Tarjetas, modales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elevation-2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Elevación media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4px 8px rgba(0,0,0,0.12)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Floating buttons, popovers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Elevación alta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8px 16px rgba(0,0,0,0.16)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Modales grandes, navs desplegables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elevation-4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Elevación máxima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12px 24px rgba(0,0,0,0.20)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Overlays, menús flotantes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Movimiento y Transiciones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Duración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Easing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motion-fast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150ms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ease-out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Hover rápido, feedback inmediato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motion-standard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300ms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ease-in-out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Transiciones de navegación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motion-slow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500ms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ease-in-out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Diálogos y modales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motion-slowest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800ms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ease-in-out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Animaciones de entrada/salida</w:t>
            </w:r>
          </w:p>
        </w:tc>
      </w:tr>
    </w:tbl>
    <w:p>
      <w:pPr>
        <w:spacing w:after="0" w:before="200"/>
      </w:pPr>
    </w:p>
    <w:p>
      <w:pPr>
        <w:spacing w:after="360" w:before="0"/>
        <w:jc w:val="both"/>
        <w:rPr>
          <w:rFonts w:ascii="Lato" w:cs="Lato" w:eastAsia="Lato" w:hAnsi="Lato"/>
          <w:color w:val="768782"/>
          <w:sz w:val="22"/>
          <w:szCs w:val="22"/>
        </w:rPr>
      </w:pPr>
      <w:r>
        <w:t xml:space="preserve">Nota: Las transiciones no son soportadas en documentos DOCX, PPTX o PDF. Utiliza para interfaces web y prototipado Figma.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Componentes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Los componentes son bloques de construcción reutilizables que mantienen consistencia en toda la marca. Cada componente incluye especificaciones, tokens aplicables y notas de adaptación cross-medium.</w:t>
      </w:r>
    </w:p>
    <w:p>
      <w:pPr>
        <w:pStyle w:val="Heading2"/>
        <w:spacing w:after="180" w:before="360" w:line="240"/>
      </w:pPr>
      <w:r>
        <w:t xml:space="preserve">Botón (CTA)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Botón de llamada a la acción con el verde primario. Comunica acciones principales y debe ser claramente clickeable.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interactive-primary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interactive-hover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#2FD954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Padding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scale-3 / scale-5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12px / 20px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 Radius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radius-2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Shadow (hover)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elevation-2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4px 8px rgba(0,0,0,0.12)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Variaciones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Primario (default): Fondo verde, texto charcoal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Secundario: Borde charcoal, fondo transparente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Desactivado: Fondo gris claro, texto gris oscuro, sin interactividad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Notas Cross-Medium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Web: Implementar con &lt;button&gt; o &lt;a role="button"&gt;, agregar :hover y :active states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PPTX: Usar forma rectangular con relleno verde, aplicar efecto de sombra en hover (en animación)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DOCX: No es interactivo; usar solo para referencia visual con fondo verde sólido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Tarjeta (Card)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Contenedor modular que agrupa información relacionada. Las tarjetas tienen fondo blanco, bordes sutiles y sombra ligera.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surface-primary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 1px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Padding Interior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scale-5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 Radius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radius-2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Sombra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elevation-1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2px 4px rgba(0,0,0,0.08)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Estructura Interna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Header (opcional): título en Lato Bold 20pt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Cuerpo: imagen o contenido multimedia (16:9 aspect ratio)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Contenido: texto en Lato Regular 11pt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Footer (opcional): metadatos o fecha en Lato Light 9pt</w:t>
      </w:r>
    </w:p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Notas Cross-Medium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Web: Implementar con &lt;article&gt; o &lt;div&gt;, usar CSS Grid/Flexbox para layouts de múltiples tarjetas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PPTX: Grupo de formas (rectángulo blanco + imagen), usar master slide para consistencia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DOCX: Usar tablas de una celda con borde sutil y fondo blanco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Tabla (Table)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Presentación estructurada de datos en filas y columnas. Las tablas utilizan header charcoal, alternancia de filas cream/white, y bordes sutiles.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Parte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Header Fondo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dark_green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Header Texto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white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#FFFFFF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Fila Par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cream_bg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Fila Impar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white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#F8F9F9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Celda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 1px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Padding Celda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scale-3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12px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Reglas de Diseño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Máximo 6-8 columnas para mantener legibilidad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Header siempre en Bold 700, 11pt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Números alineados a la derecha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Texto justificado a la izquierda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Alternancia de filas cada 2 filas para escaneo visual</w:t>
      </w:r>
    </w:p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Notas Cross-Medium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Web: Usar &lt;table&gt; semántico con &lt;thead&gt; y &lt;tbody&gt;, agregar responsive stacking en mobile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PPTX: Insertar tabla desde PowerPoint, aplicar tabla design con colores correctos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DOCX: Usar tablas nativas de Word con estilos aplicados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Divisor de Sección (Section Divider)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Línea horizontal que separa secciones principales en documentos y presentaciones. Utiliza el verde primario para énfasis.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Especificaciones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4394"/>
        <w:gridCol w:w="4394"/>
      </w:tblGrid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Color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Grosor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3px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Ancho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80mm o 100% del ancho disponible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Margen Superior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scale-9 (48px)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Margen Inferior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scale-9 (48px)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Variaciones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Estándar: Verde completo, 3px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Sutil: Border subtle gris, 1px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Con Icono: Verde con icono centrado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Cita Destacada (Pull Quote)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Fragmento de texto importante, generalmente una frase de un stakeholder o insight clave. Tiene fondo crema, borde verde a la izquierda y texto en Bold.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surface-tertiary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#F0EEE9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 Izquierdo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border-accent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 4px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text-primary (Bold)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Tamaño Texto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Medium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14pt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Padding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scale-5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20px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Atribución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text-secondary (Light)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#768782 9pt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Notas Cross-Medium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Web: &lt;blockquote&gt; con CSS border-left, usar &lt;cite&gt; para atribución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PPTX: Grupo de rectángulo (fondo crema) + línea verde + texto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DOCX: Usar párrafo con izquierdo indentado y borde izquierdo coloreado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Dato de Impacto (Impact Data)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Destaca métrica o número clave en grande con contexto pequeño debajo. Utiliza fondo verde primario con texto blanco para máximo contraste.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interactive-primary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Número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Black 900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48pt, #FFFFFF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Etiqueta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Light 300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12pt, #FFFFFF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Padding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scale-6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 Radius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radius-2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8px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Sombra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elevation-2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 4px 8px rgba(0,0,0,0.12)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Ejemplos de Uso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"42%" — Aumento de eficiencia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"15,000+" — Usuarios alcanzados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"+340%" — Retorno en inversión</w:t>
      </w:r>
    </w:p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Campo de Entrada (Input)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Descripción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Campo de texto para formularios. Tiene borde sutil, fondo cream claro, con transición a borde verde en focus.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Tokens Aplicables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Estado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Fondo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Borde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Texto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Default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 1px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Focus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 2px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Filled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 1px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Error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#E84545 2px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#E84545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Disabled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#E8E8E8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 1px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#768782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Especificaciones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Height: 44px (accesible)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Padding interior: 12px horizontal, 8px vertical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Border Radius: 4px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Font: Lato Regular 14px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Placeholder color: #768782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Transición: 300ms ease-in-out</w:t>
      </w:r>
    </w:p>
    <w:p>
      <w:pPr>
        <w:spacing w:after="0" w:before="200"/>
      </w:pPr>
    </w:p>
    <w:p>
      <w:r>
        <w:br w:type="page"/>
      </w:r>
    </w:p>
    <w:p>
      <w:pPr>
        <w:pStyle w:val="Heading1"/>
        <w:spacing w:after="240" w:before="480" w:line="240"/>
      </w:pPr>
      <w:r>
        <w:t xml:space="preserve">Fotografía e Iconografía</w:t>
      </w:r>
    </w:p>
    <w:p>
      <w:pPr>
        <w:pStyle w:val="Heading2"/>
        <w:spacing w:after="180" w:before="360" w:line="240"/>
      </w:pPr>
      <w:r>
        <w:t xml:space="preserve">Fotografía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Enfoque: Editorial Documental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Todas las fotografías deben ser auténticas, bien iluminadas y transmitir profesionalismo y confianza. Evita imágenes genéricas de banco de datos.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7 Criterios de Selección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1. Autenticidad: Personas reales, entornos reales, sin poses excesivas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2. Luz Natural: Preferir luz natural suave, evitar iluminación artificial dura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3. Composición: Usar regla de tercios, evitar centrado excesivo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4. Profundidad: Planes claramente diferenciados (primer plano, fondo)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5. Paleta: Colores naturales, coherentes con identidad brand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6. Movimiento: Capturar acciones, no solo poses estáticas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7. Inclusión: Representar diversidad en género, edad, etnias</w:t>
      </w:r>
    </w:p>
    <w:p>
      <w:pPr>
        <w:spacing w:after="0" w:before="24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Ajustes Post-Producción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Parámetro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Ajuste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Rango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Temperatura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Cálida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+200 a +400K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Contraste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Moderado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+15 a +25%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Saturación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Natural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-5 a 0%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Vibrance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Sutil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+10 a +20%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Claridad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Suave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+5 a +10%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Sobrecapas (Overlays)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En presentaciones, aplica una capa semitransparente (20-30% opacidad) del verde primario para unificar imágenes con la marca: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Color: #3BEB64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Opacidad: 20-30%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Blend Mode: Overlay (Photoshop) o Color (web)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Aplicar solamente a fotos de producto o equipo, no a retratos</w:t>
      </w:r>
    </w:p>
    <w:p>
      <w:pPr>
        <w:spacing w:after="0" w:before="240"/>
      </w:pPr>
    </w:p>
    <w:p>
      <w:pPr>
        <w:pStyle w:val="Heading2"/>
        <w:spacing w:after="180" w:before="360" w:line="240"/>
      </w:pPr>
      <w:r>
        <w:t xml:space="preserve">Iconografía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Estilo: Iconos de Línea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Utilizamos iconos simples de línea (stroke-based) de las librerías Lucide o Phosphor Icons. Estos ofrecen consistencia visual y soporte multiplataforma.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Propiedades de Trazo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4394"/>
        <w:gridCol w:w="4394"/>
      </w:tblGrid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Propiedad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Valor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Stroke Width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1.5px (consistente)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Line Cap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Round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Line Join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Round</w:t>
            </w:r>
          </w:p>
        </w:tc>
      </w:tr>
      <w:tr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Fill</w:t>
            </w:r>
          </w:p>
        </w:tc>
        <w:tc>
          <w:tcPr>
            <w:tcW w:type="dxa" w:w="4394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None (solo trazo)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Tamaños Estándar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929"/>
        <w:gridCol w:w="2929"/>
        <w:gridCol w:w="2929"/>
      </w:tblGrid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Tamaño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Pixeles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Uso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Pequeño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16 x 16 px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Inline en texto, metadatos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Estándar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24 x 24 px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Botones, headers, navegación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Grande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48 x 48 px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Iconos destacados, secciones</w:t>
            </w:r>
          </w:p>
        </w:tc>
      </w:tr>
      <w:tr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Extra Grande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64-96 px</w:t>
            </w:r>
          </w:p>
        </w:tc>
        <w:tc>
          <w:tcPr>
            <w:tcW w:type="dxa" w:w="2929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Ilustraciones, héroes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Colores de Icono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Default: #0F2C24 (charcoal)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CTA/Interactivo: #3BEB64 (verde)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Desactivado: #CFD5D3 (gris sutil)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Sobre fondo oscuro: #FFFFFF</w:t>
      </w:r>
    </w:p>
    <w:p>
      <w:pPr>
        <w:spacing w:after="0" w:before="200"/>
      </w:pPr>
    </w:p>
    <w:p>
      <w:r>
        <w:br w:type="page"/>
      </w:r>
    </w:p>
    <w:p>
      <w:pPr>
        <w:pStyle w:val="Heading1"/>
        <w:spacing w:after="240" w:before="480" w:line="240"/>
      </w:pPr>
      <w:r>
        <w:t xml:space="preserve">Traducción Cross-Medium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Nuestro sistema está diseñado para funcionar en múltiples plataformas. Esta sección define cómo adaptar componentes cuando ciertas capacidades no están disponibles.</w:t>
      </w:r>
    </w:p>
    <w:p>
      <w:pPr>
        <w:pStyle w:val="Heading2"/>
        <w:spacing w:after="180" w:before="360" w:line="240"/>
      </w:pPr>
      <w:r>
        <w:t xml:space="preserve">Matriz de Capacidades por Plataforma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Capacidad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Web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PPTX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DOCX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PDF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Colores Completos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Transiciones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Interactividad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Tipografía Lato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Componentes Anidados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Bordes Dinámicos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Hover States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Animación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Imágenes Vectoriales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Efectos de Sombra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Responsive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✓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✗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Tabla de Degradación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Cómo adaptar componentes cuando las capacidades no están disponibles: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Componente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Web (Full)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PPTX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DOCX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PDF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Botón CTA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+ hover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sólido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fondo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fondo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Tarjeta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Con sombra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 grueso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Tabla 1-celda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Rectángulo borde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Transición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300ms ease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Instant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Input Focus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Verde borde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Texto negro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Pull Quote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border-left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Rectángulo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Párrafo indent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Párrafo indent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Sombra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CSS shadow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Forma sombra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Limitado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Icono Hover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Color change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Estático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</w:tr>
    </w:tbl>
    <w:p>
      <w:pPr>
        <w:spacing w:after="0" w:before="200"/>
      </w:pPr>
    </w:p>
    <w:p>
      <w:pPr>
        <w:pStyle w:val="Heading2"/>
        <w:spacing w:after="180" w:before="360" w:line="240"/>
      </w:pPr>
      <w:r>
        <w:t xml:space="preserve">Conversión de Tokens entre Plataformas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Cómo convertir valores de color y espaciado a diferentes formatos: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Token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Hex (Web)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RGB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EMU (DOCX)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Puntos (PPTX)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primary_green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#3BEB64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rgb(59,235,100)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DBE94D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RGB(59,235,100)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dark_green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rgb(15,44,36)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0F2C24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RGB(15,44,36)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cream_bg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#F7F5F3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rgb(247,245,243)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F7F5F3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RGB(247,245,243)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border_subtle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#CFD5D3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rgb(207,213,211)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CFD5D3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RGB(207,213,211)</w:t>
            </w:r>
          </w:p>
        </w:tc>
      </w:tr>
      <w:tr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scale-2 (8px)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N/A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152 DXA</w:t>
            </w:r>
          </w:p>
        </w:tc>
        <w:tc>
          <w:tcPr>
            <w:tcW w:type="dxa" w:w="175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6 pt</w:t>
            </w:r>
          </w:p>
        </w:tc>
      </w:tr>
    </w:tbl>
    <w:p>
      <w:pPr>
        <w:spacing w:after="0" w:before="200"/>
      </w:pP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Notas de Conversión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EMU (English Metric Units) en DOCX: 1 DXA = 1/1440 de pulgada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Para convertir px a EMU: px * 9.525 ≈ EMU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Punto tipográfico (pt): 1 pt = 1/72 de pulgada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HEX a RGB: Convertir cada par hexadecimal a decimal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Siempre verificar colores en el formato final (imprimible vs. pantalla)</w:t>
      </w:r>
    </w:p>
    <w:p>
      <w:r>
        <w:br w:type="page"/>
      </w:r>
    </w:p>
    <w:p>
      <w:pPr>
        <w:pStyle w:val="Heading1"/>
        <w:spacing w:after="240" w:before="480" w:line="240"/>
      </w:pPr>
      <w:r>
        <w:t xml:space="preserve">Gobernanza</w:t>
      </w:r>
    </w:p>
    <w:p>
      <w:pPr>
        <w:spacing w:after="360" w:before="0"/>
        <w:jc w:val="both"/>
        <w:rPr>
          <w:rFonts w:ascii="Lato" w:cs="Lato" w:eastAsia="Lato" w:hAnsi="Lato"/>
          <w:color w:val="0F2C24"/>
          <w:sz w:val="22"/>
          <w:szCs w:val="22"/>
        </w:rPr>
      </w:pPr>
      <w:r>
        <w:t xml:space="preserve">Este sistema de diseño es un activo vivo que evoluciona con la marca. Esta sección define cómo se mantiene, actualiza y controla su evolución.</w:t>
      </w:r>
    </w:p>
    <w:p>
      <w:pPr>
        <w:pStyle w:val="Heading2"/>
        <w:spacing w:after="180" w:before="360" w:line="240"/>
      </w:pPr>
      <w:r>
        <w:t xml:space="preserve">Versionado Semántico</w:t>
      </w:r>
    </w:p>
    <w:p>
      <w:pPr>
        <w:spacing w:after="20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Seguimos versionado semántico (MAJOR.MINOR.PATCH):</w:t>
      </w:r>
    </w:p>
    <w:tbl>
      <w:tblPr>
        <w:tblW w:type="dxa" w:w="8788"/>
        <w:tblBorders>
          <w:top w:val="single" w:color="CFD5D3" w:sz="6"/>
          <w:left w:val="single" w:color="CFD5D3" w:sz="6"/>
          <w:bottom w:val="single" w:color="CFD5D3" w:sz="6"/>
          <w:right w:val="single" w:color="CFD5D3" w:sz="6"/>
          <w:insideH w:val="single" w:color="CFD5D3" w:sz="6"/>
          <w:insideV w:val="single" w:color="CFD5D3" w:sz="6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Tipo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Rango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Ejemplos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0F2C2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FFFFFF"/>
                <w:sz w:val="22"/>
                <w:szCs w:val="22"/>
              </w:rPr>
            </w:pPr>
            <w:r>
              <w:t xml:space="preserve">Cambios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MAJOR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v1.0, v2.0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v1.0 → v2.0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Reestructuración completa, cambios de identidad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MINOR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v1.1, v1.2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v1.0 → v1.1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7F5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Nuevos componentes, nuevos tokens semánticos</w:t>
            </w:r>
          </w:p>
        </w:tc>
      </w:tr>
      <w:tr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PATCH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v1.0.1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v1.0 → v1.0.1</w:t>
            </w:r>
          </w:p>
        </w:tc>
        <w:tc>
          <w:tcPr>
            <w:tcW w:type="dxa" w:w="2197"/>
            <w:tcBorders>
              <w:top w:val="single" w:color="CFD5D3" w:sz="6"/>
              <w:left w:val="single" w:color="CFD5D3" w:sz="6"/>
              <w:bottom w:val="single" w:color="CFD5D3" w:sz="6"/>
              <w:right w:val="single" w:color="CFD5D3" w:sz="6"/>
            </w:tcBorders>
            <w:shd w:color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  <w:rPr>
                <w:rFonts w:ascii="Lato" w:cs="Lato" w:eastAsia="Lato" w:hAnsi="Lato"/>
                <w:color w:val="0F2C24"/>
                <w:sz w:val="22"/>
                <w:szCs w:val="22"/>
              </w:rPr>
            </w:pPr>
            <w:r>
              <w:t xml:space="preserve">Correcciones, ajustes menores, clarificaciones</w:t>
            </w:r>
          </w:p>
        </w:tc>
      </w:tr>
    </w:tbl>
    <w:p>
      <w:pPr>
        <w:spacing w:after="0" w:before="200"/>
      </w:pPr>
    </w:p>
    <w:p>
      <w:pPr>
        <w:spacing w:after="360" w:before="240"/>
        <w:rPr>
          <w:rFonts w:ascii="Lato" w:cs="Lato" w:eastAsia="Lato" w:hAnsi="Lato"/>
          <w:b/>
          <w:bCs/>
          <w:color w:val="0F2C24"/>
          <w:sz w:val="22"/>
          <w:szCs w:val="22"/>
        </w:rPr>
      </w:pPr>
      <w:r>
        <w:t xml:space="preserve">Versión Actual: v1.0 (Marzo 2026)</w:t>
      </w:r>
    </w:p>
    <w:p>
      <w:pPr>
        <w:pStyle w:val="Heading2"/>
        <w:spacing w:after="180" w:before="360" w:line="240"/>
      </w:pPr>
      <w:r>
        <w:t xml:space="preserve">Proceso de Cambio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5 Fases del Cambio Controlado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Fase 1: Propuesta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El equipo de diseño o stakeholders envían una propuesta con: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Descripción del cambio deseado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Justificación (problema que resuelve)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Impacto en componentes existentes</w:t>
      </w:r>
    </w:p>
    <w:p>
      <w:pPr>
        <w:pStyle w:val="ListParagraph"/>
        <w:numPr>
          <w:ilvl w:val="0"/>
          <w:numId w:val="1"/>
        </w:numPr>
        <w:spacing w:after="80" w:before="80"/>
        <w:rPr>
          <w:rFonts w:ascii="Lato" w:cs="Lato" w:eastAsia="Lato" w:hAnsi="Lato"/>
          <w:color w:val="0F2C24"/>
          <w:sz w:val="22"/>
          <w:szCs w:val="22"/>
        </w:rPr>
      </w:pPr>
      <w:r>
        <w:t xml:space="preserve">Afectación a documentos, slides, sitios web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Fase 2: Revisión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El Design System Owner y stakeholders clave revisan la propuesta. Pueden aprobar, solicitar cambios o rechazar.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Fase 3: Implementación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El equipo de diseño implementa el cambio en Figma, documentación y ejemplos de código.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Fase 4: Prueba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Desarrolladores prueben el cambio en componentes reales. Verificar compatibilidad en todas las plataformas.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Fase 5: Lanzamiento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Publicar nueva versión. Comunicar cambios al equipo completo. Actualizar documentación y ejemplos.</w:t>
      </w:r>
    </w:p>
    <w:p>
      <w:pPr>
        <w:pStyle w:val="Heading2"/>
        <w:spacing w:after="180" w:before="360" w:line="240"/>
      </w:pPr>
      <w:r>
        <w:t xml:space="preserve">Estructura de Propiedad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Design System Owner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Responsable general del sistema. Mantiene coherencia, aprueba cambios, lidera la evolución de la identidad visual.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Design Leads (por disciplina)</w:t>
      </w:r>
    </w:p>
    <w:p>
      <w:pPr>
        <w:spacing w:after="12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Dueños de cada área: Color, Tipografía, Componentes, Fotografía, Iconografía.</w:t>
      </w:r>
    </w:p>
    <w:p>
      <w:pPr>
        <w:spacing w:after="80" w:before="240"/>
        <w:rPr>
          <w:rFonts w:ascii="Lato" w:cs="Lato" w:eastAsia="Lato" w:hAnsi="Lato"/>
          <w:b/>
          <w:bCs/>
          <w:color w:val="0F2C24"/>
          <w:sz w:val="26"/>
          <w:szCs w:val="26"/>
        </w:rPr>
      </w:pPr>
      <w:r>
        <w:t xml:space="preserve">Stakeholder Council</w:t>
      </w:r>
    </w:p>
    <w:p>
      <w:pPr>
        <w:spacing w:after="240" w:before="0"/>
        <w:rPr>
          <w:rFonts w:ascii="Lato" w:cs="Lato" w:eastAsia="Lato" w:hAnsi="Lato"/>
          <w:color w:val="0F2C24"/>
          <w:sz w:val="22"/>
          <w:szCs w:val="22"/>
        </w:rPr>
      </w:pPr>
      <w:r>
        <w:t xml:space="preserve">Representantes de diseño, desarrollo, contenido y marca que revisan propuestas de cambio.</w:t>
      </w:r>
    </w:p>
    <w:p>
      <w:pPr>
        <w:spacing w:after="120" w:before="360"/>
        <w:jc w:val="center"/>
        <w:rPr>
          <w:rFonts w:ascii="Lato" w:cs="Lato" w:eastAsia="Lato" w:hAnsi="Lato"/>
          <w:b/>
          <w:bCs/>
          <w:color w:val="DBE94D"/>
          <w:sz w:val="22"/>
          <w:szCs w:val="22"/>
        </w:rPr>
      </w:pPr>
      <w:r>
        <w:t xml:space="preserve">Fin del Documento</w:t>
      </w:r>
    </w:p>
    <w:p>
      <w:pPr>
        <w:spacing w:after="60" w:before="0"/>
        <w:jc w:val="center"/>
        <w:rPr>
          <w:rFonts w:ascii="Lato" w:cs="Lato" w:eastAsia="Lato" w:hAnsi="Lato"/>
          <w:color w:val="768782"/>
          <w:sz w:val="18"/>
          <w:szCs w:val="18"/>
        </w:rPr>
      </w:pPr>
      <w:r>
        <w:t xml:space="preserve">Flow Collective Studio Design System v1.0</w:t>
      </w:r>
    </w:p>
    <w:p>
      <w:pPr>
        <w:spacing w:after="0" w:before="0"/>
        <w:jc w:val="center"/>
        <w:rPr>
          <w:rFonts w:ascii="Lato" w:cs="Lato" w:eastAsia="Lato" w:hAnsi="Lato"/>
          <w:color w:val="768782"/>
          <w:sz w:val="18"/>
          <w:szCs w:val="18"/>
        </w:rPr>
      </w:pPr>
      <w:r>
        <w:t xml:space="preserve">Marzo 2026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  <w:rPr>
        <w:rFonts w:ascii="Lato" w:cs="Lato" w:eastAsia="Lato" w:hAnsi="Lato"/>
        <w:color w:val="76878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2026-03-04T21:25:01.794Z</dcterms:created>
  <dcterms:modified xsi:type="dcterms:W3CDTF">2026-03-04T21:25:01.794Z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